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6"/>
        </w:rPr>
        <w:t>Vendor Bank-Change Verification Protocol: how to use it</w:t>
      </w:r>
    </w:p>
    <w:p>
      <w:pPr>
        <w:pStyle w:val="ListBullet"/>
        <w:spacing w:after="40"/>
      </w:pPr>
      <w:r>
        <w:t>Page 2 is the editable protocol. Add your company name, the protocol owner and the second approver(s).</w:t>
      </w:r>
    </w:p>
    <w:p>
      <w:pPr>
        <w:pStyle w:val="ListBullet"/>
        <w:spacing w:after="40"/>
      </w:pPr>
      <w:r>
        <w:t>Print it, sign it, and tape it next to whoever pays the bills. Log every bank-detail request in the change log.</w:t>
      </w:r>
    </w:p>
    <w:p>
      <w:pPr>
        <w:pStyle w:val="ListBullet"/>
        <w:spacing w:after="40"/>
      </w:pPr>
      <w:r>
        <w:t>Delete this page before you print or share the protocol.</w:t>
      </w:r>
    </w:p>
    <w:p/>
    <w:tbl>
      <w:tblPr>
        <w:tblW w:type="auto" w:w="0"/>
        <w:tblLook w:firstColumn="1" w:firstRow="1" w:lastColumn="0" w:lastRow="0" w:noHBand="0" w:noVBand="1" w:val="04A0"/>
      </w:tblPr>
      <w:tblGrid>
        <w:gridCol w:w="10224"/>
      </w:tblGrid>
      <w:tr>
        <w:tc>
          <w:tcPr>
            <w:tcW w:type="dxa" w:w="10224"/>
            <w:shd w:val="clear" w:color="auto" w:fill="EEF2FF"/>
            <w:tcBorders>
              <w:top w:val="single" w:sz="12" w:color="4F46E5"/>
              <w:left w:val="single" w:sz="12" w:color="4F46E5"/>
              <w:bottom w:val="single" w:sz="12" w:color="4F46E5"/>
              <w:right w:val="single" w:sz="12" w:color="4F46E5"/>
            </w:tcBorders>
          </w:tcPr>
          <w:p>
            <w:r>
              <w:rPr>
                <w:b/>
                <w:color w:val="4F46E5"/>
                <w:sz w:val="26"/>
              </w:rPr>
              <w:t>Foxpedite does this automatically</w:t>
            </w:r>
          </w:p>
          <w:p>
            <w:r>
              <w:rPr>
                <w:i/>
                <w:color w:val="4B5563"/>
                <w:sz w:val="18"/>
              </w:rPr>
              <w:t>This page is the manual protocol. In Foxpedite, the checks that matter are built into how vendors get paid:</w:t>
            </w:r>
          </w:p>
          <w:p>
            <w:pPr>
              <w:spacing w:after="20"/>
            </w:pPr>
            <w:r>
              <w:rPr>
                <w:b/>
                <w:color w:val="10B981"/>
                <w:sz w:val="19"/>
              </w:rPr>
              <w:t xml:space="preserve">✓  </w:t>
            </w:r>
            <w:r>
              <w:rPr>
                <w:b/>
                <w:color w:val="111827"/>
                <w:sz w:val="19"/>
              </w:rPr>
              <w:t>Steps 3–4:</w:t>
            </w:r>
            <w:r>
              <w:rPr>
                <w:b w:val="0"/>
                <w:color w:val="111827"/>
                <w:sz w:val="19"/>
              </w:rPr>
              <w:t xml:space="preserve"> vendor bank details live on the vendor record with an audit trail, and approval workflows (Advanced plan) can require a second approver.</w:t>
            </w:r>
          </w:p>
          <w:p>
            <w:pPr>
              <w:spacing w:after="20"/>
            </w:pPr>
            <w:r>
              <w:rPr>
                <w:b/>
                <w:color w:val="10B981"/>
                <w:sz w:val="19"/>
              </w:rPr>
              <w:t xml:space="preserve">✓  </w:t>
            </w:r>
            <w:r>
              <w:rPr>
                <w:b/>
                <w:color w:val="111827"/>
                <w:sz w:val="19"/>
              </w:rPr>
              <w:t>Red flags:</w:t>
            </w:r>
            <w:r>
              <w:rPr>
                <w:b w:val="0"/>
                <w:color w:val="111827"/>
                <w:sz w:val="19"/>
              </w:rPr>
              <w:t xml:space="preserve"> an invoice pays only when PO + receipt + invoice match, so a fake invoice with no PO stops at Gate 3.</w:t>
            </w:r>
          </w:p>
          <w:p>
            <w:pPr>
              <w:spacing w:after="20"/>
            </w:pPr>
            <w:r>
              <w:rPr>
                <w:b/>
                <w:color w:val="10B981"/>
                <w:sz w:val="19"/>
              </w:rPr>
              <w:t xml:space="preserve">✓  </w:t>
            </w:r>
            <w:r>
              <w:rPr>
                <w:b/>
                <w:color w:val="111827"/>
                <w:sz w:val="19"/>
              </w:rPr>
              <w:t>One vendor record per supplier,</w:t>
            </w:r>
            <w:r>
              <w:rPr>
                <w:b w:val="0"/>
                <w:color w:val="111827"/>
                <w:sz w:val="19"/>
              </w:rPr>
              <w:t xml:space="preserve"> onboarded through the supplier portal, so new vendors and their bank details come in one way, not by email.</w:t>
            </w:r>
          </w:p>
          <w:p>
            <w:pPr>
              <w:spacing w:before="60"/>
            </w:pPr>
            <w:hyperlink r:id="rId11">
              <w:r>
                <w:rPr>
                  <w:color w:val="4F46E5"/>
                  <w:u w:val="single"/>
                  <w:b/>
                  <w:sz w:val="21"/>
                </w:rPr>
                <w:t>Try it free for 14 days: foxpedite.com/register →</w:t>
              </w:r>
            </w:hyperlink>
          </w:p>
          <w:p>
            <w:r>
              <w:rPr>
                <w:color w:val="4B5563"/>
                <w:sz w:val="15"/>
              </w:rPr>
              <w:t>Every Advanced feature, no credit card. Approval workflows, approve-from-email, QuickBooks Online sync and AI document scanning are on Advanced ($740/mo, 20 users incl.); Regular ($390/mo, 10 users) covers POs, budgets and 3-way match. +$39/extra user · prices as of Oct 2026.</w:t>
            </w:r>
          </w:p>
        </w:tc>
      </w:tr>
    </w:tbl>
    <w:p>
      <w:r>
        <w:br w:type="page"/>
      </w:r>
    </w:p>
    <w:p>
      <w:r>
        <w:rPr>
          <w:b/>
          <w:sz w:val="40"/>
        </w:rPr>
        <w:t>Vendor Bank-Change Verification Protocol</w:t>
      </w:r>
    </w:p>
    <w:p>
      <w:r>
        <w:rPr>
          <w:color w:val="4B5563"/>
          <w:sz w:val="19"/>
        </w:rPr>
        <w:t>[YOUR COMPANY NAME] - effective [DATE]. A one-page rule for any request to change where you send a vendor's money. Print it, sign it, tape it next to whoever pays the bills.</w:t>
      </w:r>
    </w:p>
    <w:p>
      <w:pPr>
        <w:spacing w:before="120"/>
      </w:pPr>
      <w:r>
        <w:rPr>
          <w:b/>
          <w:color w:val="4F46E5"/>
          <w:sz w:val="24"/>
        </w:rPr>
        <w:t>The rule: no bank change without a callback and a second approver</w:t>
      </w:r>
    </w:p>
    <w:p>
      <w:r>
        <w:rPr>
          <w:sz w:val="19"/>
        </w:rPr>
        <w:t>Applies to: any request to change a vendor's bank account, remit-to address or payment method, by email, phone, letter, invoice or vendor portal. Owner of this protocol: [NAME / ROLE]. Second approver(s): [NAME / ROLE].</w:t>
      </w:r>
    </w:p>
    <w:p>
      <w:pPr>
        <w:pStyle w:val="ListNumber"/>
        <w:spacing w:after="40"/>
      </w:pPr>
      <w:r>
        <w:rPr>
          <w:b/>
        </w:rPr>
        <w:t xml:space="preserve">Freeze. </w:t>
      </w:r>
      <w:r>
        <w:t>Any request to change a vendor's bank account, remit-to address or payment method is put on hold. No payment goes to the new details until steps 2–5 are complete, however urgent the request sounds.</w:t>
      </w:r>
    </w:p>
    <w:p>
      <w:pPr>
        <w:pStyle w:val="ListNumber"/>
        <w:spacing w:after="40"/>
      </w:pPr>
      <w:r>
        <w:rPr>
          <w:b/>
        </w:rPr>
        <w:t xml:space="preserve">Call back on a number you already had. </w:t>
      </w:r>
      <w:r>
        <w:t>Call the vendor using a phone number from your vendor file, a past contract or a signed PO - never the number, link or signature in the request. Ask for someone you've dealt with before. Confirm the old account's last 4 digits and the new account details read back to you.</w:t>
      </w:r>
    </w:p>
    <w:p>
      <w:pPr>
        <w:pStyle w:val="ListNumber"/>
        <w:spacing w:after="40"/>
      </w:pPr>
      <w:r>
        <w:rPr>
          <w:b/>
        </w:rPr>
        <w:t xml:space="preserve">Second person approves. </w:t>
      </w:r>
      <w:r>
        <w:t>A second employee (not the person who took the call) reviews the call log and approves the change in writing. The person who enters bank details in your accounting system must not be the person who approves payments.</w:t>
      </w:r>
      <w:r>
        <w:rPr>
          <w:i/>
          <w:color w:val="4F46E5"/>
          <w:sz w:val="17"/>
        </w:rPr>
        <w:t xml:space="preserve">  ▶ Foxpedite: approval workflows (Advanced plan) can require a second approver before a vendor change counts.</w:t>
      </w:r>
    </w:p>
    <w:p>
      <w:pPr>
        <w:pStyle w:val="ListNumber"/>
        <w:spacing w:after="40"/>
      </w:pPr>
      <w:r>
        <w:rPr>
          <w:b/>
        </w:rPr>
        <w:t xml:space="preserve">Document it. </w:t>
      </w:r>
      <w:r>
        <w:t>Log: date, who requested, how (email/phone/letter), number called, who confirmed, old vs new last-4, approver. Keep the original request email with full headers.</w:t>
      </w:r>
      <w:r>
        <w:rPr>
          <w:i/>
          <w:color w:val="4F46E5"/>
          <w:sz w:val="17"/>
        </w:rPr>
        <w:t xml:space="preserve">  ▶ Foxpedite: bank details sit on the vendor record, with an audit trail of who changed what and when.</w:t>
      </w:r>
    </w:p>
    <w:p>
      <w:pPr>
        <w:pStyle w:val="ListNumber"/>
        <w:spacing w:after="40"/>
      </w:pPr>
      <w:r>
        <w:rPr>
          <w:b/>
        </w:rPr>
        <w:t xml:space="preserve">Test and watch. </w:t>
      </w:r>
      <w:r>
        <w:t>Send the first payment to the new account as a small amount or after a 24–48 h wait, then confirm receipt by phone. Tell the vendor's contact by phone that the change was made, so a fraudster can't hide it.</w:t>
      </w:r>
    </w:p>
    <w:p>
      <w:pPr>
        <w:spacing w:before="120"/>
      </w:pPr>
      <w:r>
        <w:rPr>
          <w:b/>
          <w:color w:val="4F46E5"/>
          <w:sz w:val="24"/>
        </w:rPr>
        <w:t>Red flags: stop and call</w:t>
      </w:r>
    </w:p>
    <w:p>
      <w:pPr>
        <w:pStyle w:val="ListBullet"/>
        <w:spacing w:after="20"/>
      </w:pPr>
      <w:r>
        <w:t>Urgency or secrecy: “pay today”, “don't call, I'm in meetings”, “the CEO approved it”.</w:t>
      </w:r>
    </w:p>
    <w:p>
      <w:pPr>
        <w:pStyle w:val="ListBullet"/>
        <w:spacing w:after="20"/>
      </w:pPr>
      <w:r>
        <w:t>Lookalike email address or domain (one letter off, extra word, different ending).</w:t>
      </w:r>
    </w:p>
    <w:p>
      <w:pPr>
        <w:pStyle w:val="ListBullet"/>
        <w:spacing w:after="20"/>
      </w:pPr>
      <w:r>
        <w:t>Request arrives right before a big payment, a holiday or month-end.</w:t>
      </w:r>
    </w:p>
    <w:p>
      <w:pPr>
        <w:pStyle w:val="ListBullet"/>
        <w:spacing w:after="20"/>
      </w:pPr>
      <w:r>
        <w:t>New bank in a different state or country from the vendor's location.</w:t>
      </w:r>
    </w:p>
    <w:p>
      <w:pPr>
        <w:pStyle w:val="ListBullet"/>
        <w:spacing w:after="20"/>
      </w:pPr>
      <w:r>
        <w:t>Reply-to address differs from the sender, or the thread was “forwarded”.</w:t>
      </w:r>
    </w:p>
    <w:p>
      <w:pPr>
        <w:pStyle w:val="ListBullet"/>
        <w:spacing w:after="20"/>
      </w:pPr>
      <w:r>
        <w:t>Invoice with new remit-to details that otherwise looks identical to the last one.</w:t>
      </w:r>
    </w:p>
    <w:p>
      <w:pPr>
        <w:pStyle w:val="ListBullet"/>
        <w:spacing w:after="20"/>
      </w:pPr>
      <w:r>
        <w:t>Caller or emailer resists a callback or offers their own “verification” number.</w:t>
      </w:r>
    </w:p>
    <w:p>
      <w:pPr>
        <w:spacing w:before="120"/>
      </w:pPr>
      <w:r>
        <w:rPr>
          <w:b/>
          <w:color w:val="4F46E5"/>
          <w:sz w:val="24"/>
        </w:rPr>
        <w:t>If money already went out</w:t>
      </w:r>
    </w:p>
    <w:p>
      <w:pPr>
        <w:pStyle w:val="ListBullet"/>
        <w:spacing w:after="20"/>
      </w:pPr>
      <w:r>
        <w:t>Call your bank immediately and ask it to recall the transfer and contact the receiving bank.</w:t>
      </w:r>
    </w:p>
    <w:p>
      <w:pPr>
        <w:pStyle w:val="ListBullet"/>
        <w:spacing w:after="20"/>
      </w:pPr>
      <w:r>
        <w:t>File a complaint at ic3.gov with full transaction details, regardless of the amount.</w:t>
      </w:r>
    </w:p>
    <w:p>
      <w:pPr>
        <w:pStyle w:val="ListBullet"/>
        <w:spacing w:after="20"/>
      </w:pPr>
      <w:r>
        <w:t>Preserve the emails (with headers); reset passwords and turn on MFA on the email account involved.</w:t>
      </w:r>
    </w:p>
    <w:p>
      <w:pPr>
        <w:spacing w:before="120"/>
      </w:pPr>
      <w:r>
        <w:rPr>
          <w:b/>
          <w:color w:val="4F46E5"/>
          <w:sz w:val="24"/>
        </w:rPr>
        <w:t>Change log (copy this row for each request)</w:t>
      </w:r>
    </w:p>
    <w:tbl>
      <w:tblPr>
        <w:tblStyle w:val="TableGrid"/>
        <w:tblW w:type="auto" w:w="0"/>
        <w:tblLook w:firstColumn="1" w:firstRow="1" w:lastColumn="0" w:lastRow="0" w:noHBand="0" w:noVBand="1" w:val="04A0"/>
      </w:tblPr>
      <w:tblGrid>
        <w:gridCol w:w="1461"/>
        <w:gridCol w:w="1461"/>
        <w:gridCol w:w="1461"/>
        <w:gridCol w:w="1461"/>
        <w:gridCol w:w="1461"/>
        <w:gridCol w:w="1461"/>
        <w:gridCol w:w="1461"/>
      </w:tblGrid>
      <w:tr>
        <w:tc>
          <w:tcPr>
            <w:tcW w:type="dxa" w:w="1461"/>
            <w:shd w:val="clear" w:color="auto" w:fill="4F46E5"/>
          </w:tcPr>
          <w:p>
            <w:r/>
            <w:r>
              <w:rPr>
                <w:b/>
                <w:color w:val="FFFFFF"/>
                <w:sz w:val="16"/>
              </w:rPr>
              <w:t>Date</w:t>
            </w:r>
          </w:p>
        </w:tc>
        <w:tc>
          <w:tcPr>
            <w:tcW w:type="dxa" w:w="1461"/>
            <w:shd w:val="clear" w:color="auto" w:fill="4F46E5"/>
          </w:tcPr>
          <w:p>
            <w:r/>
            <w:r>
              <w:rPr>
                <w:b/>
                <w:color w:val="FFFFFF"/>
                <w:sz w:val="16"/>
              </w:rPr>
              <w:t>Vendor</w:t>
            </w:r>
          </w:p>
        </w:tc>
        <w:tc>
          <w:tcPr>
            <w:tcW w:type="dxa" w:w="1461"/>
            <w:shd w:val="clear" w:color="auto" w:fill="4F46E5"/>
          </w:tcPr>
          <w:p>
            <w:r/>
            <w:r>
              <w:rPr>
                <w:b/>
                <w:color w:val="FFFFFF"/>
                <w:sz w:val="16"/>
              </w:rPr>
              <w:t>Requested via</w:t>
            </w:r>
          </w:p>
        </w:tc>
        <w:tc>
          <w:tcPr>
            <w:tcW w:type="dxa" w:w="1461"/>
            <w:shd w:val="clear" w:color="auto" w:fill="4F46E5"/>
          </w:tcPr>
          <w:p>
            <w:r/>
            <w:r>
              <w:rPr>
                <w:b/>
                <w:color w:val="FFFFFF"/>
                <w:sz w:val="16"/>
              </w:rPr>
              <w:t>Number called (from file)</w:t>
            </w:r>
          </w:p>
        </w:tc>
        <w:tc>
          <w:tcPr>
            <w:tcW w:type="dxa" w:w="1461"/>
            <w:shd w:val="clear" w:color="auto" w:fill="4F46E5"/>
          </w:tcPr>
          <w:p>
            <w:r/>
            <w:r>
              <w:rPr>
                <w:b/>
                <w:color w:val="FFFFFF"/>
                <w:sz w:val="16"/>
              </w:rPr>
              <w:t>Confirmed by</w:t>
            </w:r>
          </w:p>
        </w:tc>
        <w:tc>
          <w:tcPr>
            <w:tcW w:type="dxa" w:w="1461"/>
            <w:shd w:val="clear" w:color="auto" w:fill="4F46E5"/>
          </w:tcPr>
          <w:p>
            <w:r/>
            <w:r>
              <w:rPr>
                <w:b/>
                <w:color w:val="FFFFFF"/>
                <w:sz w:val="16"/>
              </w:rPr>
              <w:t>Old / new last-4</w:t>
            </w:r>
          </w:p>
        </w:tc>
        <w:tc>
          <w:tcPr>
            <w:tcW w:type="dxa" w:w="1461"/>
            <w:shd w:val="clear" w:color="auto" w:fill="4F46E5"/>
          </w:tcPr>
          <w:p>
            <w:r/>
            <w:r>
              <w:rPr>
                <w:b/>
                <w:color w:val="FFFFFF"/>
                <w:sz w:val="16"/>
              </w:rPr>
              <w:t>Approver</w:t>
            </w:r>
          </w:p>
        </w:tc>
      </w:tr>
      <w:tr>
        <w:tc>
          <w:tcPr>
            <w:tcW w:type="dxa" w:w="1461"/>
          </w:tcPr>
          <w:p>
            <w:r/>
            <w:r>
              <w:rPr>
                <w:i/>
                <w:sz w:val="16"/>
              </w:rPr>
              <w:t>EXAMPLE 12/22</w:t>
            </w:r>
          </w:p>
        </w:tc>
        <w:tc>
          <w:tcPr>
            <w:tcW w:type="dxa" w:w="1461"/>
          </w:tcPr>
          <w:p>
            <w:r/>
            <w:r>
              <w:rPr>
                <w:i/>
                <w:sz w:val="16"/>
              </w:rPr>
              <w:t>Example Supply Co.</w:t>
            </w:r>
          </w:p>
        </w:tc>
        <w:tc>
          <w:tcPr>
            <w:tcW w:type="dxa" w:w="1461"/>
          </w:tcPr>
          <w:p>
            <w:r/>
            <w:r>
              <w:rPr>
                <w:i/>
                <w:sz w:val="16"/>
              </w:rPr>
              <w:t>Email</w:t>
            </w:r>
          </w:p>
        </w:tc>
        <w:tc>
          <w:tcPr>
            <w:tcW w:type="dxa" w:w="1461"/>
          </w:tcPr>
          <w:p>
            <w:r/>
            <w:r>
              <w:rPr>
                <w:i/>
                <w:sz w:val="16"/>
              </w:rPr>
              <w:t>(555) 010-0000 (vendor file)</w:t>
            </w:r>
          </w:p>
        </w:tc>
        <w:tc>
          <w:tcPr>
            <w:tcW w:type="dxa" w:w="1461"/>
          </w:tcPr>
          <w:p>
            <w:r/>
            <w:r>
              <w:rPr>
                <w:i/>
                <w:sz w:val="16"/>
              </w:rPr>
              <w:t>A. Lee, AR</w:t>
            </w:r>
          </w:p>
        </w:tc>
        <w:tc>
          <w:tcPr>
            <w:tcW w:type="dxa" w:w="1461"/>
          </w:tcPr>
          <w:p>
            <w:r/>
            <w:r>
              <w:rPr>
                <w:i/>
                <w:sz w:val="16"/>
              </w:rPr>
              <w:t>4417 / 9032</w:t>
            </w:r>
          </w:p>
        </w:tc>
        <w:tc>
          <w:tcPr>
            <w:tcW w:type="dxa" w:w="1461"/>
          </w:tcPr>
          <w:p>
            <w:r/>
            <w:r>
              <w:rPr>
                <w:i/>
                <w:sz w:val="16"/>
              </w:rPr>
              <w:t>M. Ortiz</w:t>
            </w:r>
          </w:p>
        </w:tc>
      </w:tr>
      <w:tr>
        <w:tc>
          <w:tcPr>
            <w:tcW w:type="dxa" w:w="1461"/>
          </w:tcPr>
          <w:p/>
        </w:tc>
        <w:tc>
          <w:tcPr>
            <w:tcW w:type="dxa" w:w="1461"/>
          </w:tcPr>
          <w:p/>
        </w:tc>
        <w:tc>
          <w:tcPr>
            <w:tcW w:type="dxa" w:w="1461"/>
          </w:tcPr>
          <w:p/>
        </w:tc>
        <w:tc>
          <w:tcPr>
            <w:tcW w:type="dxa" w:w="1461"/>
          </w:tcPr>
          <w:p/>
        </w:tc>
        <w:tc>
          <w:tcPr>
            <w:tcW w:type="dxa" w:w="1461"/>
          </w:tcPr>
          <w:p/>
        </w:tc>
        <w:tc>
          <w:tcPr>
            <w:tcW w:type="dxa" w:w="1461"/>
          </w:tcPr>
          <w:p/>
        </w:tc>
        <w:tc>
          <w:tcPr>
            <w:tcW w:type="dxa" w:w="1461"/>
          </w:tcPr>
          <w:p/>
        </w:tc>
      </w:tr>
    </w:tbl>
    <w:p>
      <w:pPr>
        <w:spacing w:before="120"/>
      </w:pPr>
      <w:r>
        <w:rPr>
          <w:b/>
          <w:color w:val="4F46E5"/>
          <w:sz w:val="24"/>
        </w:rPr>
        <w:t>Sign-off</w:t>
      </w:r>
    </w:p>
    <w:p>
      <w:r>
        <w:t>We follow this protocol for every vendor payment-detail change, with no exceptions for executives or “urgent” requests.</w:t>
      </w:r>
    </w:p>
    <w:p>
      <w:r>
        <w:t>Owner / CEO: ______________________  Date: ________      Person who pays bills: ______________________  Date: ________</w:t>
      </w:r>
    </w:p>
    <w:p>
      <w:pPr>
        <w:spacing w:before="120"/>
      </w:pPr>
      <w:r>
        <w:rPr>
          <w:color w:val="4B5563"/>
          <w:sz w:val="14"/>
        </w:rPr>
        <w:t>Sources (verified Oct 18, 2026): FBI IC3, 2025 Internet Crime Report (BEC: 24,768 complaints, $3,046,598,558 reported losses; Recovery Asset Team froze $679M of $1.16B attempted) https://www.ic3.gov/AnnualReport/Reports/2025_IC3Report.pdf · FBI Business Email Compromise guidance https://www.fbi.gov/how-we-can-help-you/scams-and-safety/common-frauds-and-scams/business-email-compromise · ACFE, Occupational Fraud 2024: A Report to the Nations (orgs &lt;100 employees: median loss $141,000; billing schemes in 31% of cases) https://www.ivey.uwo.ca/media/kjljj5cy/2024-report-to-the-nations.pdf. General guidance, not legal advice.</w:t>
      </w:r>
    </w:p>
    <w:sectPr w:rsidR="00FC693F" w:rsidRPr="0006063C" w:rsidSect="00034616">
      <w:headerReference w:type="default" r:id="rId9"/>
      <w:footerReference w:type="default" r:id="rId10"/>
      <w:pgSz w:w="12240" w:h="15840"/>
      <w:pgMar w:top="792"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color w:val="4F46E5"/>
        <w:sz w:val="15"/>
      </w:rPr>
      <w:t>foxpedite.com</w:t>
    </w:r>
    <w:r>
      <w:rPr>
        <w:color w:val="4B5563"/>
        <w:sz w:val="15"/>
      </w:rPr>
      <w:t xml:space="preserve"> - Free template. Example data is illustrative.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320040" cy="32004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0040" cy="320040"/>
                  </a:xfrm>
                  <a:prstGeom prst="rect"/>
                </pic:spPr>
              </pic:pic>
            </a:graphicData>
          </a:graphic>
        </wp:inline>
      </w:drawing>
    </w:r>
    <w:r>
      <w:rPr>
        <w:b/>
        <w:color w:val="4F46E5"/>
        <w:sz w:val="26"/>
      </w:rPr>
      <w:t xml:space="preserve">  Foxpedite</w:t>
    </w:r>
    <w:r>
      <w:rPr>
        <w:b/>
        <w:color w:val="4F46E5"/>
        <w:sz w:val="15"/>
      </w:rPr>
      <w:tab/>
      <w:tab/>
      <w:t>FRAUD CONTROL · EDITABLE PROTOCOL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Inter" w:hAnsi="Inter" w:eastAsia="Inter"/>
      <w:color w:val="11182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oxpedite.com/register?utm_source=website&amp;utm_medium=organic&amp;utm_campaign=fx-202612-the-fake-invoice-scam-an&amp;utm_content=foxpedite-com-templates-template-lead-magnet-w08-w08-l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Foxpedite</dc:creator>
  <cp:keywords/>
  <dc:description/>
  <cp:lastModifiedBy/>
  <cp:revision>1</cp:revision>
  <dcterms:created xsi:type="dcterms:W3CDTF">2013-12-23T23:15:00Z</dcterms:created>
  <dcterms:modified xsi:type="dcterms:W3CDTF">2013-12-23T23:15:00Z</dcterms:modified>
  <cp:category/>
</cp:coreProperties>
</file>