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Purchasing policy template: how to use it</w:t>
      </w:r>
    </w:p>
    <w:p>
      <w:pPr>
        <w:pStyle w:val="ListBullet"/>
        <w:spacing w:after="40"/>
      </w:pPr>
      <w:r>
        <w:rPr>
          <w:b w:val="0"/>
          <w:i w:val="0"/>
        </w:rPr>
        <w:t xml:space="preserve">Page 2 is the one-page policy. Replace every highlighted </w:t>
      </w:r>
      <w:r>
        <w:rPr>
          <w:b w:val="0"/>
          <w:i w:val="0"/>
          <w:color w:val="4F46E5"/>
          <w:highlight w:val="yellow"/>
        </w:rPr>
        <w:t>[field]</w:t>
      </w:r>
      <w:r>
        <w:rPr>
          <w:b w:val="0"/>
          <w:i w:val="0"/>
        </w:rPr>
        <w:t>; keep the threshold table short enough to remember.</w:t>
      </w:r>
    </w:p>
    <w:p>
      <w:pPr>
        <w:pStyle w:val="ListBullet"/>
        <w:spacing w:after="40"/>
      </w:pPr>
      <w:r>
        <w:rPr>
          <w:b w:val="0"/>
          <w:i w:val="0"/>
        </w:rPr>
        <w:t>Make it effective on the first business day of a quarter, so new spend starts under the new rules.</w:t>
      </w:r>
    </w:p>
    <w:p>
      <w:pPr>
        <w:pStyle w:val="ListBullet"/>
        <w:spacing w:after="40"/>
      </w:pPr>
      <w:r>
        <w:rPr>
          <w:b w:val="0"/>
          <w:i w:val="0"/>
        </w:rPr>
        <w:t>Page 3 is the rollout plan. Delete this cover page and the rollout page before you publish the policy.</w:t>
      </w:r>
    </w:p>
    <w:p/>
    <w:tbl>
      <w:tblPr>
        <w:tblW w:type="auto" w:w="0"/>
        <w:tblLook w:firstColumn="1" w:firstRow="1" w:lastColumn="0" w:lastRow="0" w:noHBand="0" w:noVBand="1" w:val="04A0"/>
      </w:tblPr>
      <w:tblGrid>
        <w:gridCol w:w="10080"/>
      </w:tblGrid>
      <w:tr>
        <w:tc>
          <w:tcPr>
            <w:tcW w:type="dxa" w:w="10080"/>
            <w:shd w:val="clear" w:color="auto" w:fill="EEF2FF"/>
            <w:tcBorders>
              <w:top w:val="single" w:sz="12" w:color="4F46E5"/>
              <w:left w:val="single" w:sz="12" w:color="4F46E5"/>
              <w:bottom w:val="single" w:sz="12" w:color="4F46E5"/>
              <w:right w:val="single" w:sz="12" w:color="4F46E5"/>
            </w:tcBorders>
          </w:tcPr>
          <w:p>
            <w:r>
              <w:rPr>
                <w:b/>
                <w:color w:val="4F46E5"/>
                <w:sz w:val="26"/>
              </w:rPr>
              <w:t>Foxpedite does this automatically</w:t>
            </w:r>
          </w:p>
          <w:p>
            <w:r>
              <w:rPr>
                <w:i/>
                <w:color w:val="4B5563"/>
                <w:sz w:val="18"/>
              </w:rPr>
              <w:t>A policy on paper depends on people remembering it. Foxpedite turns each section into the way purchases actually happen:</w:t>
            </w:r>
          </w:p>
          <w:p>
            <w:pPr>
              <w:spacing w:after="20"/>
            </w:pPr>
            <w:r>
              <w:rPr>
                <w:b/>
                <w:color w:val="10B981"/>
                <w:sz w:val="19"/>
              </w:rPr>
              <w:t xml:space="preserve">✓  </w:t>
            </w:r>
            <w:r>
              <w:rPr>
                <w:b/>
                <w:color w:val="111827"/>
                <w:sz w:val="19"/>
              </w:rPr>
              <w:t>Sections 3 and 9:</w:t>
            </w:r>
            <w:r>
              <w:rPr>
                <w:b w:val="0"/>
                <w:color w:val="111827"/>
                <w:sz w:val="19"/>
              </w:rPr>
              <w:t xml:space="preserve"> your thresholds, backups and escalation become routing rules in the visual workflow builder; approvers approve from the email.</w:t>
            </w:r>
          </w:p>
          <w:p>
            <w:pPr>
              <w:spacing w:after="20"/>
            </w:pPr>
            <w:r>
              <w:rPr>
                <w:b/>
                <w:color w:val="10B981"/>
                <w:sz w:val="19"/>
              </w:rPr>
              <w:t xml:space="preserve">✓  </w:t>
            </w:r>
            <w:r>
              <w:rPr>
                <w:b/>
                <w:color w:val="111827"/>
                <w:sz w:val="19"/>
              </w:rPr>
              <w:t>Section 5:</w:t>
            </w:r>
            <w:r>
              <w:rPr>
                <w:b w:val="0"/>
                <w:color w:val="111827"/>
                <w:sz w:val="19"/>
              </w:rPr>
              <w:t xml:space="preserve"> every PO is numbered automatically and reserved against the budget the moment it's drafted (Draft-Stage Budget Lock).</w:t>
            </w:r>
          </w:p>
          <w:p>
            <w:pPr>
              <w:spacing w:after="20"/>
            </w:pPr>
            <w:r>
              <w:rPr>
                <w:b/>
                <w:color w:val="10B981"/>
                <w:sz w:val="19"/>
              </w:rPr>
              <w:t xml:space="preserve">✓  </w:t>
            </w:r>
            <w:r>
              <w:rPr>
                <w:b/>
                <w:color w:val="111827"/>
                <w:sz w:val="19"/>
              </w:rPr>
              <w:t>Sections 6 and 7:</w:t>
            </w:r>
            <w:r>
              <w:rPr>
                <w:b w:val="0"/>
                <w:color w:val="111827"/>
                <w:sz w:val="19"/>
              </w:rPr>
              <w:t xml:space="preserve"> receipts are logged against the PO, and invoices pay only when PO + receipt + invoice match. Synced to QuickBooks Online.</w:t>
            </w:r>
          </w:p>
          <w:p>
            <w:pPr>
              <w:spacing w:after="20"/>
            </w:pPr>
            <w:r>
              <w:rPr>
                <w:b/>
                <w:color w:val="10B981"/>
                <w:sz w:val="19"/>
              </w:rPr>
              <w:t xml:space="preserve">✓  </w:t>
            </w:r>
            <w:r>
              <w:rPr>
                <w:b/>
                <w:color w:val="111827"/>
                <w:sz w:val="19"/>
              </w:rPr>
              <w:t>Section 11:</w:t>
            </w:r>
            <w:r>
              <w:rPr>
                <w:b w:val="0"/>
                <w:color w:val="111827"/>
                <w:sz w:val="19"/>
              </w:rPr>
              <w:t xml:space="preserve"> vendor bank details live on the vendor record, with an audit trail of who changed what.</w:t>
            </w:r>
          </w:p>
          <w:p>
            <w:pPr>
              <w:spacing w:before="60"/>
            </w:pPr>
            <w:hyperlink r:id="rId11">
              <w:r>
                <w:rPr>
                  <w:color w:val="4F46E5"/>
                  <w:u w:val="single"/>
                  <w:b/>
                  <w:sz w:val="21"/>
                </w:rPr>
                <w:t>Try it free for 14 days: foxpedite.com/register →</w:t>
              </w:r>
            </w:hyperlink>
          </w:p>
          <w:p>
            <w:r>
              <w:rPr>
                <w:color w:val="4B5563"/>
                <w:sz w:val="15"/>
              </w:rPr>
              <w:t>Every Advanced feature, no credit card. Approval workflows, approve-from-email, QuickBooks Online sync and AI document scanning are on Advanced ($740/mo, 20 users incl.); Regular ($390/mo, 10 users) covers POs, budgets and 3-way match. +$39/extra user · prices as of Oct 2026.</w:t>
            </w:r>
          </w:p>
        </w:tc>
      </w:tr>
    </w:tbl>
    <w:p>
      <w:r>
        <w:rPr>
          <w:b w:val="0"/>
          <w:i/>
          <w:color w:val="6B7280"/>
          <w:sz w:val="17"/>
        </w:rPr>
        <w:t>The editable document starts on the next page. Delete this page before you send or publish it.</w:t>
      </w:r>
    </w:p>
    <w:p>
      <w:r>
        <w:br w:type="page"/>
      </w:r>
    </w:p>
    <w:p>
      <w:pPr>
        <w:pStyle w:val="Heading1"/>
      </w:pPr>
      <w:r>
        <w:t>[Company Name] Purchasing Policy</w:t>
      </w:r>
    </w:p>
    <w:p>
      <w:pPr>
        <w:pStyle w:val="Heading3"/>
      </w:pPr>
      <w:r>
        <w:t>1. Purpose and scope</w:t>
      </w:r>
    </w:p>
    <w:p>
      <w:pPr>
        <w:spacing w:after="20"/>
      </w:pPr>
      <w:r>
        <w:rPr>
          <w:b w:val="0"/>
          <w:i w:val="0"/>
          <w:sz w:val="17"/>
        </w:rPr>
        <w:t xml:space="preserve">This policy explains how </w:t>
      </w:r>
      <w:r>
        <w:rPr>
          <w:b w:val="0"/>
          <w:i w:val="0"/>
          <w:color w:val="4F46E5"/>
          <w:sz w:val="17"/>
          <w:highlight w:val="yellow"/>
        </w:rPr>
        <w:t>[Company Name]</w:t>
      </w:r>
      <w:r>
        <w:rPr>
          <w:b w:val="0"/>
          <w:i w:val="0"/>
          <w:sz w:val="17"/>
        </w:rPr>
        <w:t xml:space="preserve"> buys goods and services so that every purchase is approved before money is committed, charged to the right budget, and paid only once. It applies to all employees and contractors who buy on the company's behalf, at every location. Owner: </w:t>
      </w:r>
      <w:r>
        <w:rPr>
          <w:b w:val="0"/>
          <w:i w:val="0"/>
          <w:color w:val="4F46E5"/>
          <w:sz w:val="17"/>
          <w:highlight w:val="yellow"/>
        </w:rPr>
        <w:t>[Policy owner, e.g. Controller]</w:t>
      </w:r>
      <w:r>
        <w:rPr>
          <w:b w:val="0"/>
          <w:i w:val="0"/>
          <w:sz w:val="17"/>
        </w:rPr>
        <w:t xml:space="preserve">. Effective: </w:t>
      </w:r>
      <w:r>
        <w:rPr>
          <w:b w:val="0"/>
          <w:i w:val="0"/>
          <w:color w:val="4F46E5"/>
          <w:sz w:val="17"/>
          <w:highlight w:val="yellow"/>
        </w:rPr>
        <w:t>[Date]</w:t>
      </w:r>
      <w:r>
        <w:rPr>
          <w:b w:val="0"/>
          <w:i w:val="0"/>
          <w:sz w:val="17"/>
        </w:rPr>
        <w:t xml:space="preserve">. Reviewed: every </w:t>
      </w:r>
      <w:r>
        <w:rPr>
          <w:b w:val="0"/>
          <w:i w:val="0"/>
          <w:color w:val="4F46E5"/>
          <w:sz w:val="17"/>
          <w:highlight w:val="yellow"/>
        </w:rPr>
        <w:t>[12]</w:t>
      </w:r>
      <w:r>
        <w:rPr>
          <w:b w:val="0"/>
          <w:i w:val="0"/>
          <w:sz w:val="17"/>
        </w:rPr>
        <w:t xml:space="preserve"> months.</w:t>
      </w:r>
    </w:p>
    <w:p>
      <w:pPr>
        <w:pStyle w:val="Heading3"/>
      </w:pPr>
      <w:r>
        <w:t>2. The rule in one sentence</w:t>
      </w:r>
    </w:p>
    <w:p>
      <w:pPr>
        <w:spacing w:after="20"/>
      </w:pPr>
      <w:r>
        <w:rPr>
          <w:b/>
          <w:i w:val="0"/>
          <w:sz w:val="17"/>
        </w:rPr>
        <w:t>Ask before you buy, buy with a PO, and pay only when the PO, the receipt and the invoice agree.</w:t>
      </w:r>
    </w:p>
    <w:p>
      <w:pPr>
        <w:pStyle w:val="Heading3"/>
      </w:pPr>
      <w:r>
        <w:t>3. Approval thresholds</w:t>
      </w:r>
    </w:p>
    <w:tbl>
      <w:tblPr>
        <w:tblStyle w:val="TableGrid"/>
        <w:tblW w:type="auto" w:w="0"/>
        <w:jc w:val="center"/>
        <w:tblLayout w:type="fixed"/>
        <w:tblLook w:firstColumn="1" w:firstRow="1" w:lastColumn="0" w:lastRow="0" w:noHBand="0" w:noVBand="1" w:val="04A0"/>
      </w:tblPr>
      <w:tblGrid>
        <w:gridCol w:w="4176"/>
        <w:gridCol w:w="4464"/>
        <w:gridCol w:w="864"/>
        <w:gridCol w:w="1007"/>
      </w:tblGrid>
      <w:tr>
        <w:tc>
          <w:tcPr>
            <w:tcW w:type="dxa" w:w="4176"/>
            <w:shd w:val="clear" w:color="auto" w:fill="4F46E5"/>
          </w:tcPr>
          <w:p>
            <w:pPr>
              <w:spacing w:after="20"/>
            </w:pPr>
            <w:r/>
            <w:r>
              <w:rPr>
                <w:b/>
                <w:i w:val="0"/>
                <w:color w:val="FFFFFF"/>
                <w:sz w:val="18"/>
              </w:rPr>
              <w:t>Total value (incl. tax, shipping; annual for subscriptions)</w:t>
            </w:r>
          </w:p>
        </w:tc>
        <w:tc>
          <w:tcPr>
            <w:tcW w:type="dxa" w:w="4464"/>
            <w:shd w:val="clear" w:color="auto" w:fill="4F46E5"/>
          </w:tcPr>
          <w:p>
            <w:pPr>
              <w:spacing w:after="20"/>
            </w:pPr>
            <w:r/>
            <w:r>
              <w:rPr>
                <w:b/>
                <w:i w:val="0"/>
                <w:color w:val="FFFFFF"/>
                <w:sz w:val="18"/>
              </w:rPr>
              <w:t>Approved by</w:t>
            </w:r>
          </w:p>
        </w:tc>
        <w:tc>
          <w:tcPr>
            <w:tcW w:type="dxa" w:w="864"/>
            <w:shd w:val="clear" w:color="auto" w:fill="4F46E5"/>
          </w:tcPr>
          <w:p>
            <w:pPr>
              <w:spacing w:after="20"/>
            </w:pPr>
            <w:r/>
            <w:r>
              <w:rPr>
                <w:b/>
                <w:i w:val="0"/>
                <w:color w:val="FFFFFF"/>
                <w:sz w:val="18"/>
              </w:rPr>
              <w:t>Quotes</w:t>
            </w:r>
          </w:p>
        </w:tc>
        <w:tc>
          <w:tcPr>
            <w:tcW w:type="dxa" w:w="1008"/>
            <w:shd w:val="clear" w:color="auto" w:fill="4F46E5"/>
          </w:tcPr>
          <w:p>
            <w:pPr>
              <w:spacing w:after="20"/>
            </w:pPr>
            <w:r/>
            <w:r>
              <w:rPr>
                <w:b/>
                <w:i w:val="0"/>
                <w:color w:val="FFFFFF"/>
                <w:sz w:val="18"/>
              </w:rPr>
              <w:t>PO needed?</w:t>
            </w:r>
          </w:p>
        </w:tc>
      </w:tr>
      <w:tr>
        <w:tc>
          <w:tcPr>
            <w:tcW w:type="dxa" w:w="4176"/>
          </w:tcPr>
          <w:p>
            <w:pPr>
              <w:spacing w:after="20"/>
            </w:pPr>
            <w:r/>
            <w:r>
              <w:rPr>
                <w:b w:val="0"/>
                <w:i w:val="0"/>
                <w:sz w:val="18"/>
              </w:rPr>
              <w:t xml:space="preserve">Under </w:t>
            </w:r>
            <w:r>
              <w:rPr>
                <w:b w:val="0"/>
                <w:i w:val="0"/>
                <w:color w:val="4F46E5"/>
                <w:sz w:val="18"/>
                <w:highlight w:val="yellow"/>
              </w:rPr>
              <w:t>[$500]</w:t>
            </w:r>
          </w:p>
        </w:tc>
        <w:tc>
          <w:tcPr>
            <w:tcW w:type="dxa" w:w="4464"/>
          </w:tcPr>
          <w:p>
            <w:pPr>
              <w:spacing w:after="20"/>
            </w:pPr>
            <w:r/>
            <w:r>
              <w:rPr>
                <w:b w:val="0"/>
                <w:i w:val="0"/>
                <w:sz w:val="18"/>
              </w:rPr>
              <w:t>No approval; company card with receipt</w:t>
            </w:r>
          </w:p>
        </w:tc>
        <w:tc>
          <w:tcPr>
            <w:tcW w:type="dxa" w:w="864"/>
          </w:tcPr>
          <w:p>
            <w:pPr>
              <w:spacing w:after="20"/>
            </w:pPr>
            <w:r/>
            <w:r>
              <w:rPr>
                <w:b w:val="0"/>
                <w:i w:val="0"/>
                <w:sz w:val="18"/>
              </w:rPr>
              <w:t>0</w:t>
            </w:r>
          </w:p>
        </w:tc>
        <w:tc>
          <w:tcPr>
            <w:tcW w:type="dxa" w:w="1008"/>
          </w:tcPr>
          <w:p>
            <w:pPr>
              <w:spacing w:after="20"/>
            </w:pPr>
            <w:r/>
            <w:r>
              <w:rPr>
                <w:b w:val="0"/>
                <w:i w:val="0"/>
                <w:sz w:val="18"/>
              </w:rPr>
              <w:t>No</w:t>
            </w:r>
          </w:p>
        </w:tc>
      </w:tr>
      <w:tr>
        <w:tc>
          <w:tcPr>
            <w:tcW w:type="dxa" w:w="4176"/>
            <w:shd w:val="clear" w:color="auto" w:fill="F9FAFB"/>
          </w:tcPr>
          <w:p>
            <w:pPr>
              <w:spacing w:after="20"/>
            </w:pPr>
            <w:r/>
            <w:r>
              <w:rPr>
                <w:b w:val="0"/>
                <w:i w:val="0"/>
                <w:color w:val="4F46E5"/>
                <w:sz w:val="18"/>
                <w:highlight w:val="yellow"/>
              </w:rPr>
              <w:t>[$500]</w:t>
            </w:r>
            <w:r>
              <w:rPr>
                <w:b w:val="0"/>
                <w:i w:val="0"/>
                <w:sz w:val="18"/>
              </w:rPr>
              <w:t xml:space="preserve"> – </w:t>
            </w:r>
            <w:r>
              <w:rPr>
                <w:b w:val="0"/>
                <w:i w:val="0"/>
                <w:color w:val="4F46E5"/>
                <w:sz w:val="18"/>
                <w:highlight w:val="yellow"/>
              </w:rPr>
              <w:t>[$2,499]</w:t>
            </w:r>
          </w:p>
        </w:tc>
        <w:tc>
          <w:tcPr>
            <w:tcW w:type="dxa" w:w="4464"/>
            <w:shd w:val="clear" w:color="auto" w:fill="F9FAFB"/>
          </w:tcPr>
          <w:p>
            <w:pPr>
              <w:spacing w:after="20"/>
            </w:pPr>
            <w:r/>
            <w:r>
              <w:rPr>
                <w:b w:val="0"/>
                <w:i w:val="0"/>
                <w:color w:val="4F46E5"/>
                <w:sz w:val="18"/>
                <w:highlight w:val="yellow"/>
              </w:rPr>
              <w:t>[Department head]</w:t>
            </w:r>
          </w:p>
        </w:tc>
        <w:tc>
          <w:tcPr>
            <w:tcW w:type="dxa" w:w="864"/>
            <w:shd w:val="clear" w:color="auto" w:fill="F9FAFB"/>
          </w:tcPr>
          <w:p>
            <w:pPr>
              <w:spacing w:after="20"/>
            </w:pPr>
            <w:r/>
            <w:r>
              <w:rPr>
                <w:b w:val="0"/>
                <w:i w:val="0"/>
                <w:sz w:val="18"/>
              </w:rPr>
              <w:t>0</w:t>
            </w:r>
          </w:p>
        </w:tc>
        <w:tc>
          <w:tcPr>
            <w:tcW w:type="dxa" w:w="1008"/>
            <w:shd w:val="clear" w:color="auto" w:fill="F9FAFB"/>
          </w:tcPr>
          <w:p>
            <w:pPr>
              <w:spacing w:after="20"/>
            </w:pPr>
            <w:r/>
            <w:r>
              <w:rPr>
                <w:b w:val="0"/>
                <w:i w:val="0"/>
                <w:sz w:val="18"/>
              </w:rPr>
              <w:t>Yes</w:t>
            </w:r>
          </w:p>
        </w:tc>
      </w:tr>
      <w:tr>
        <w:tc>
          <w:tcPr>
            <w:tcW w:type="dxa" w:w="4176"/>
          </w:tcPr>
          <w:p>
            <w:pPr>
              <w:spacing w:after="20"/>
            </w:pPr>
            <w:r/>
            <w:r>
              <w:rPr>
                <w:b w:val="0"/>
                <w:i w:val="0"/>
                <w:color w:val="4F46E5"/>
                <w:sz w:val="18"/>
                <w:highlight w:val="yellow"/>
              </w:rPr>
              <w:t>[$2,500]</w:t>
            </w:r>
            <w:r>
              <w:rPr>
                <w:b w:val="0"/>
                <w:i w:val="0"/>
                <w:sz w:val="18"/>
              </w:rPr>
              <w:t xml:space="preserve"> – </w:t>
            </w:r>
            <w:r>
              <w:rPr>
                <w:b w:val="0"/>
                <w:i w:val="0"/>
                <w:color w:val="4F46E5"/>
                <w:sz w:val="18"/>
                <w:highlight w:val="yellow"/>
              </w:rPr>
              <w:t>[$9,999]</w:t>
            </w:r>
          </w:p>
        </w:tc>
        <w:tc>
          <w:tcPr>
            <w:tcW w:type="dxa" w:w="4464"/>
          </w:tcPr>
          <w:p>
            <w:pPr>
              <w:spacing w:after="20"/>
            </w:pPr>
            <w:r/>
            <w:r>
              <w:rPr>
                <w:b w:val="0"/>
                <w:i w:val="0"/>
                <w:color w:val="4F46E5"/>
                <w:sz w:val="18"/>
                <w:highlight w:val="yellow"/>
              </w:rPr>
              <w:t>[Department head]</w:t>
            </w:r>
            <w:r>
              <w:rPr>
                <w:b w:val="0"/>
                <w:i w:val="0"/>
                <w:sz w:val="18"/>
              </w:rPr>
              <w:t xml:space="preserve"> + </w:t>
            </w:r>
            <w:r>
              <w:rPr>
                <w:b w:val="0"/>
                <w:i w:val="0"/>
                <w:color w:val="4F46E5"/>
                <w:sz w:val="18"/>
                <w:highlight w:val="yellow"/>
              </w:rPr>
              <w:t>[Controller]</w:t>
            </w:r>
          </w:p>
        </w:tc>
        <w:tc>
          <w:tcPr>
            <w:tcW w:type="dxa" w:w="864"/>
          </w:tcPr>
          <w:p>
            <w:pPr>
              <w:spacing w:after="20"/>
            </w:pPr>
            <w:r/>
            <w:r>
              <w:rPr>
                <w:b w:val="0"/>
                <w:i w:val="0"/>
                <w:color w:val="4F46E5"/>
                <w:sz w:val="18"/>
                <w:highlight w:val="yellow"/>
              </w:rPr>
              <w:t>[2]</w:t>
            </w:r>
          </w:p>
        </w:tc>
        <w:tc>
          <w:tcPr>
            <w:tcW w:type="dxa" w:w="1008"/>
          </w:tcPr>
          <w:p>
            <w:pPr>
              <w:spacing w:after="20"/>
            </w:pPr>
            <w:r/>
            <w:r>
              <w:rPr>
                <w:b w:val="0"/>
                <w:i w:val="0"/>
                <w:sz w:val="18"/>
              </w:rPr>
              <w:t>Yes</w:t>
            </w:r>
          </w:p>
        </w:tc>
      </w:tr>
      <w:tr>
        <w:tc>
          <w:tcPr>
            <w:tcW w:type="dxa" w:w="4176"/>
            <w:shd w:val="clear" w:color="auto" w:fill="F9FAFB"/>
          </w:tcPr>
          <w:p>
            <w:pPr>
              <w:spacing w:after="20"/>
            </w:pPr>
            <w:r/>
            <w:r>
              <w:rPr>
                <w:b w:val="0"/>
                <w:i w:val="0"/>
                <w:color w:val="4F46E5"/>
                <w:sz w:val="18"/>
                <w:highlight w:val="yellow"/>
              </w:rPr>
              <w:t>[$10,000]</w:t>
            </w:r>
            <w:r>
              <w:rPr>
                <w:b w:val="0"/>
                <w:i w:val="0"/>
                <w:sz w:val="18"/>
              </w:rPr>
              <w:t xml:space="preserve"> – </w:t>
            </w:r>
            <w:r>
              <w:rPr>
                <w:b w:val="0"/>
                <w:i w:val="0"/>
                <w:color w:val="4F46E5"/>
                <w:sz w:val="18"/>
                <w:highlight w:val="yellow"/>
              </w:rPr>
              <w:t>[$49,999]</w:t>
            </w:r>
          </w:p>
        </w:tc>
        <w:tc>
          <w:tcPr>
            <w:tcW w:type="dxa" w:w="4464"/>
            <w:shd w:val="clear" w:color="auto" w:fill="F9FAFB"/>
          </w:tcPr>
          <w:p>
            <w:pPr>
              <w:spacing w:after="20"/>
            </w:pPr>
            <w:r/>
            <w:r>
              <w:rPr>
                <w:b w:val="0"/>
                <w:i w:val="0"/>
                <w:color w:val="4F46E5"/>
                <w:sz w:val="18"/>
                <w:highlight w:val="yellow"/>
              </w:rPr>
              <w:t>[Controller]</w:t>
            </w:r>
            <w:r>
              <w:rPr>
                <w:b w:val="0"/>
                <w:i w:val="0"/>
                <w:sz w:val="18"/>
              </w:rPr>
              <w:t xml:space="preserve"> + </w:t>
            </w:r>
            <w:r>
              <w:rPr>
                <w:b w:val="0"/>
                <w:i w:val="0"/>
                <w:color w:val="4F46E5"/>
                <w:sz w:val="18"/>
                <w:highlight w:val="yellow"/>
              </w:rPr>
              <w:t>[CEO / Owner]</w:t>
            </w:r>
          </w:p>
        </w:tc>
        <w:tc>
          <w:tcPr>
            <w:tcW w:type="dxa" w:w="864"/>
            <w:shd w:val="clear" w:color="auto" w:fill="F9FAFB"/>
          </w:tcPr>
          <w:p>
            <w:pPr>
              <w:spacing w:after="20"/>
            </w:pPr>
            <w:r/>
            <w:r>
              <w:rPr>
                <w:b w:val="0"/>
                <w:i w:val="0"/>
                <w:color w:val="4F46E5"/>
                <w:sz w:val="18"/>
                <w:highlight w:val="yellow"/>
              </w:rPr>
              <w:t>[3]</w:t>
            </w:r>
          </w:p>
        </w:tc>
        <w:tc>
          <w:tcPr>
            <w:tcW w:type="dxa" w:w="1008"/>
            <w:shd w:val="clear" w:color="auto" w:fill="F9FAFB"/>
          </w:tcPr>
          <w:p>
            <w:pPr>
              <w:spacing w:after="20"/>
            </w:pPr>
            <w:r/>
            <w:r>
              <w:rPr>
                <w:b w:val="0"/>
                <w:i w:val="0"/>
                <w:sz w:val="18"/>
              </w:rPr>
              <w:t>Yes</w:t>
            </w:r>
          </w:p>
        </w:tc>
      </w:tr>
      <w:tr>
        <w:tc>
          <w:tcPr>
            <w:tcW w:type="dxa" w:w="4176"/>
          </w:tcPr>
          <w:p>
            <w:pPr>
              <w:spacing w:after="20"/>
            </w:pPr>
            <w:r/>
            <w:r>
              <w:rPr>
                <w:b w:val="0"/>
                <w:i w:val="0"/>
                <w:color w:val="4F46E5"/>
                <w:sz w:val="18"/>
                <w:highlight w:val="yellow"/>
              </w:rPr>
              <w:t>[$50,000]</w:t>
            </w:r>
            <w:r>
              <w:rPr>
                <w:b w:val="0"/>
                <w:i w:val="0"/>
                <w:sz w:val="18"/>
              </w:rPr>
              <w:t xml:space="preserve"> and over</w:t>
            </w:r>
          </w:p>
        </w:tc>
        <w:tc>
          <w:tcPr>
            <w:tcW w:type="dxa" w:w="4464"/>
          </w:tcPr>
          <w:p>
            <w:pPr>
              <w:spacing w:after="20"/>
            </w:pPr>
            <w:r/>
            <w:r>
              <w:rPr>
                <w:b w:val="0"/>
                <w:i w:val="0"/>
                <w:color w:val="4F46E5"/>
                <w:sz w:val="18"/>
                <w:highlight w:val="yellow"/>
              </w:rPr>
              <w:t>[CEO]</w:t>
            </w:r>
            <w:r>
              <w:rPr>
                <w:b w:val="0"/>
                <w:i w:val="0"/>
                <w:sz w:val="18"/>
              </w:rPr>
              <w:t xml:space="preserve"> + </w:t>
            </w:r>
            <w:r>
              <w:rPr>
                <w:b w:val="0"/>
                <w:i w:val="0"/>
                <w:color w:val="4F46E5"/>
                <w:sz w:val="18"/>
                <w:highlight w:val="yellow"/>
              </w:rPr>
              <w:t>[Board / owners]</w:t>
            </w:r>
            <w:r>
              <w:rPr>
                <w:b w:val="0"/>
                <w:i w:val="0"/>
                <w:sz w:val="18"/>
              </w:rPr>
              <w:t>; signed contract</w:t>
            </w:r>
          </w:p>
        </w:tc>
        <w:tc>
          <w:tcPr>
            <w:tcW w:type="dxa" w:w="864"/>
          </w:tcPr>
          <w:p>
            <w:pPr>
              <w:spacing w:after="20"/>
            </w:pPr>
            <w:r/>
            <w:r>
              <w:rPr>
                <w:b w:val="0"/>
                <w:i w:val="0"/>
                <w:color w:val="4F46E5"/>
                <w:sz w:val="18"/>
                <w:highlight w:val="yellow"/>
              </w:rPr>
              <w:t>[3]</w:t>
            </w:r>
          </w:p>
        </w:tc>
        <w:tc>
          <w:tcPr>
            <w:tcW w:type="dxa" w:w="1008"/>
          </w:tcPr>
          <w:p>
            <w:pPr>
              <w:spacing w:after="20"/>
            </w:pPr>
            <w:r/>
            <w:r>
              <w:rPr>
                <w:b w:val="0"/>
                <w:i w:val="0"/>
                <w:sz w:val="18"/>
              </w:rPr>
              <w:t>Yes</w:t>
            </w:r>
          </w:p>
        </w:tc>
      </w:tr>
    </w:tbl>
    <w:p>
      <w:pPr>
        <w:spacing w:after="20"/>
      </w:pPr>
      <w:r>
        <w:rPr>
          <w:b w:val="0"/>
          <w:i w:val="0"/>
          <w:sz w:val="16"/>
        </w:rPr>
        <w:t xml:space="preserve">Nobody approves their own request. Splitting one purchase into smaller ones doesn't change the tier. Some categories add an approver at any amount: </w:t>
      </w:r>
      <w:r>
        <w:rPr>
          <w:b w:val="0"/>
          <w:i w:val="0"/>
          <w:color w:val="4F46E5"/>
          <w:sz w:val="16"/>
          <w:highlight w:val="yellow"/>
        </w:rPr>
        <w:t>[capex → CEO]</w:t>
      </w:r>
      <w:r>
        <w:rPr>
          <w:b w:val="0"/>
          <w:i w:val="0"/>
          <w:sz w:val="16"/>
        </w:rPr>
        <w:t xml:space="preserve">, </w:t>
      </w:r>
      <w:r>
        <w:rPr>
          <w:b w:val="0"/>
          <w:i w:val="0"/>
          <w:color w:val="4F46E5"/>
          <w:sz w:val="16"/>
          <w:highlight w:val="yellow"/>
        </w:rPr>
        <w:t>[software → IT]</w:t>
      </w:r>
      <w:r>
        <w:rPr>
          <w:b w:val="0"/>
          <w:i w:val="0"/>
          <w:sz w:val="16"/>
        </w:rPr>
        <w:t xml:space="preserve">, </w:t>
      </w:r>
      <w:r>
        <w:rPr>
          <w:b w:val="0"/>
          <w:i w:val="0"/>
          <w:color w:val="4F46E5"/>
          <w:sz w:val="16"/>
          <w:highlight w:val="yellow"/>
        </w:rPr>
        <w:t>[grant-funded → Grants Manager]</w:t>
      </w:r>
      <w:r>
        <w:rPr>
          <w:b w:val="0"/>
          <w:i w:val="0"/>
          <w:sz w:val="16"/>
        </w:rPr>
        <w:t>.</w:t>
      </w:r>
    </w:p>
    <w:p>
      <w:pPr>
        <w:pStyle w:val="Heading3"/>
      </w:pPr>
      <w:r>
        <w:t>4. Quotes and preferred vendors</w:t>
      </w:r>
    </w:p>
    <w:p>
      <w:pPr>
        <w:spacing w:after="20"/>
      </w:pPr>
      <w:r>
        <w:rPr>
          <w:b w:val="0"/>
          <w:i w:val="0"/>
          <w:sz w:val="17"/>
        </w:rPr>
        <w:t xml:space="preserve">Use a vendor on the preferred vendor list when one exists. Purchases at </w:t>
      </w:r>
      <w:r>
        <w:rPr>
          <w:b w:val="0"/>
          <w:i w:val="0"/>
          <w:color w:val="4F46E5"/>
          <w:sz w:val="17"/>
          <w:highlight w:val="yellow"/>
        </w:rPr>
        <w:t>[Tier 3]</w:t>
      </w:r>
      <w:r>
        <w:rPr>
          <w:b w:val="0"/>
          <w:i w:val="0"/>
          <w:sz w:val="17"/>
        </w:rPr>
        <w:t xml:space="preserve"> and above need </w:t>
      </w:r>
      <w:r>
        <w:rPr>
          <w:b w:val="0"/>
          <w:i w:val="0"/>
          <w:color w:val="4F46E5"/>
          <w:sz w:val="17"/>
          <w:highlight w:val="yellow"/>
        </w:rPr>
        <w:t>[2]</w:t>
      </w:r>
      <w:r>
        <w:rPr>
          <w:b w:val="0"/>
          <w:i w:val="0"/>
          <w:sz w:val="17"/>
        </w:rPr>
        <w:t xml:space="preserve"> written quotes; </w:t>
      </w:r>
      <w:r>
        <w:rPr>
          <w:b w:val="0"/>
          <w:i w:val="0"/>
          <w:color w:val="4F46E5"/>
          <w:sz w:val="17"/>
          <w:highlight w:val="yellow"/>
        </w:rPr>
        <w:t>[Tier 4]</w:t>
      </w:r>
      <w:r>
        <w:rPr>
          <w:b w:val="0"/>
          <w:i w:val="0"/>
          <w:sz w:val="17"/>
        </w:rPr>
        <w:t xml:space="preserve"> and above need </w:t>
      </w:r>
      <w:r>
        <w:rPr>
          <w:b w:val="0"/>
          <w:i w:val="0"/>
          <w:color w:val="4F46E5"/>
          <w:sz w:val="17"/>
          <w:highlight w:val="yellow"/>
        </w:rPr>
        <w:t>[3]</w:t>
      </w:r>
      <w:r>
        <w:rPr>
          <w:b w:val="0"/>
          <w:i w:val="0"/>
          <w:sz w:val="17"/>
        </w:rPr>
        <w:t xml:space="preserve">, or a written sole-source reason. New vendors are set up only by </w:t>
      </w:r>
      <w:r>
        <w:rPr>
          <w:b w:val="0"/>
          <w:i w:val="0"/>
          <w:color w:val="4F46E5"/>
          <w:sz w:val="17"/>
          <w:highlight w:val="yellow"/>
        </w:rPr>
        <w:t>[Role]</w:t>
      </w:r>
      <w:r>
        <w:rPr>
          <w:b w:val="0"/>
          <w:i w:val="0"/>
          <w:sz w:val="17"/>
        </w:rPr>
        <w:t xml:space="preserve"> after a W-9 (and certificate of insurance for on-site contractors) is on file.</w:t>
      </w:r>
    </w:p>
    <w:p>
      <w:pPr>
        <w:pStyle w:val="Heading3"/>
      </w:pPr>
      <w:r>
        <w:t>5. Purchase orders</w:t>
      </w:r>
    </w:p>
    <w:p>
      <w:pPr>
        <w:spacing w:after="20"/>
      </w:pPr>
      <w:r>
        <w:rPr>
          <w:b w:val="0"/>
          <w:i w:val="0"/>
          <w:sz w:val="17"/>
        </w:rPr>
        <w:t xml:space="preserve">A purchase order is required for anything over </w:t>
      </w:r>
      <w:r>
        <w:rPr>
          <w:b w:val="0"/>
          <w:i w:val="0"/>
          <w:color w:val="4F46E5"/>
          <w:sz w:val="17"/>
          <w:highlight w:val="yellow"/>
        </w:rPr>
        <w:t>[$500]</w:t>
      </w:r>
      <w:r>
        <w:rPr>
          <w:b w:val="0"/>
          <w:i w:val="0"/>
          <w:sz w:val="17"/>
        </w:rPr>
        <w:t xml:space="preserve"> before the vendor is contacted to order. The PO states the vendor, items, price, budget/department, and need-by date. Vendors must quote the PO number on the invoice. Blanket POs are allowed for recurring supplies up to </w:t>
      </w:r>
      <w:r>
        <w:rPr>
          <w:b w:val="0"/>
          <w:i w:val="0"/>
          <w:color w:val="4F46E5"/>
          <w:sz w:val="17"/>
          <w:highlight w:val="yellow"/>
        </w:rPr>
        <w:t>[$ amount]</w:t>
      </w:r>
      <w:r>
        <w:rPr>
          <w:b w:val="0"/>
          <w:i w:val="0"/>
          <w:sz w:val="17"/>
        </w:rPr>
        <w:t xml:space="preserve"> per </w:t>
      </w:r>
      <w:r>
        <w:rPr>
          <w:b w:val="0"/>
          <w:i w:val="0"/>
          <w:color w:val="4F46E5"/>
          <w:sz w:val="17"/>
          <w:highlight w:val="yellow"/>
        </w:rPr>
        <w:t>[month/quarter]</w:t>
      </w:r>
      <w:r>
        <w:rPr>
          <w:b w:val="0"/>
          <w:i w:val="0"/>
          <w:sz w:val="17"/>
        </w:rPr>
        <w:t>.</w:t>
      </w:r>
    </w:p>
    <w:p>
      <w:pPr>
        <w:pStyle w:val="Heading3"/>
      </w:pPr>
      <w:r>
        <w:t>6. Receiving</w:t>
      </w:r>
    </w:p>
    <w:p>
      <w:pPr>
        <w:spacing w:after="20"/>
      </w:pPr>
      <w:r>
        <w:rPr>
          <w:b w:val="0"/>
          <w:i w:val="0"/>
          <w:sz w:val="17"/>
        </w:rPr>
        <w:t xml:space="preserve">Whoever receives the goods or signs off the service records what arrived (quantity and condition) against the PO within </w:t>
      </w:r>
      <w:r>
        <w:rPr>
          <w:b w:val="0"/>
          <w:i w:val="0"/>
          <w:color w:val="4F46E5"/>
          <w:sz w:val="17"/>
          <w:highlight w:val="yellow"/>
        </w:rPr>
        <w:t>[2]</w:t>
      </w:r>
      <w:r>
        <w:rPr>
          <w:b w:val="0"/>
          <w:i w:val="0"/>
          <w:sz w:val="17"/>
        </w:rPr>
        <w:t xml:space="preserve"> business days. Partial deliveries are recorded as partial.</w:t>
      </w:r>
    </w:p>
    <w:p>
      <w:pPr>
        <w:pStyle w:val="Heading3"/>
      </w:pPr>
      <w:r>
        <w:t>7. Invoices and payment</w:t>
      </w:r>
    </w:p>
    <w:p>
      <w:pPr>
        <w:spacing w:after="20"/>
      </w:pPr>
      <w:r>
        <w:rPr>
          <w:b w:val="0"/>
          <w:i w:val="0"/>
          <w:sz w:val="17"/>
        </w:rPr>
        <w:t xml:space="preserve">Invoices go to </w:t>
      </w:r>
      <w:r>
        <w:rPr>
          <w:b w:val="0"/>
          <w:i w:val="0"/>
          <w:color w:val="4F46E5"/>
          <w:sz w:val="17"/>
          <w:highlight w:val="yellow"/>
        </w:rPr>
        <w:t>[ap@company.com]</w:t>
      </w:r>
      <w:r>
        <w:rPr>
          <w:b w:val="0"/>
          <w:i w:val="0"/>
          <w:sz w:val="17"/>
        </w:rPr>
        <w:t xml:space="preserve">. AP pays an invoice only when it matches the approved PO and the receipt within </w:t>
      </w:r>
      <w:r>
        <w:rPr>
          <w:b w:val="0"/>
          <w:i w:val="0"/>
          <w:color w:val="4F46E5"/>
          <w:sz w:val="17"/>
          <w:highlight w:val="yellow"/>
        </w:rPr>
        <w:t>[2% or $50, whichever is lower]</w:t>
      </w:r>
      <w:r>
        <w:rPr>
          <w:b w:val="0"/>
          <w:i w:val="0"/>
          <w:sz w:val="17"/>
        </w:rPr>
        <w:t xml:space="preserve">. Mismatches go back to the requester. Invoices without a PO over </w:t>
      </w:r>
      <w:r>
        <w:rPr>
          <w:b w:val="0"/>
          <w:i w:val="0"/>
          <w:color w:val="4F46E5"/>
          <w:sz w:val="17"/>
          <w:highlight w:val="yellow"/>
        </w:rPr>
        <w:t>[$500]</w:t>
      </w:r>
      <w:r>
        <w:rPr>
          <w:b w:val="0"/>
          <w:i w:val="0"/>
          <w:sz w:val="17"/>
        </w:rPr>
        <w:t xml:space="preserve"> are held until a PO is approved after the fact and the reason is recorded. Each vendor is paid through one channel only (</w:t>
      </w:r>
      <w:r>
        <w:rPr>
          <w:b w:val="0"/>
          <w:i w:val="0"/>
          <w:color w:val="4F46E5"/>
          <w:sz w:val="17"/>
          <w:highlight w:val="yellow"/>
        </w:rPr>
        <w:t>[ACH / check / card]</w:t>
      </w:r>
      <w:r>
        <w:rPr>
          <w:b w:val="0"/>
          <w:i w:val="0"/>
          <w:sz w:val="17"/>
        </w:rPr>
        <w:t>).</w:t>
      </w:r>
    </w:p>
    <w:p>
      <w:pPr>
        <w:pStyle w:val="Heading3"/>
      </w:pPr>
      <w:r>
        <w:t>8. Company cards</w:t>
      </w:r>
    </w:p>
    <w:p>
      <w:pPr>
        <w:spacing w:after="20"/>
      </w:pPr>
      <w:r>
        <w:rPr>
          <w:b w:val="0"/>
          <w:i w:val="0"/>
          <w:sz w:val="17"/>
        </w:rPr>
        <w:t xml:space="preserve">Cards are for purchases under </w:t>
      </w:r>
      <w:r>
        <w:rPr>
          <w:b w:val="0"/>
          <w:i w:val="0"/>
          <w:color w:val="4F46E5"/>
          <w:sz w:val="17"/>
          <w:highlight w:val="yellow"/>
        </w:rPr>
        <w:t>[$500]</w:t>
      </w:r>
      <w:r>
        <w:rPr>
          <w:b w:val="0"/>
          <w:i w:val="0"/>
          <w:sz w:val="17"/>
        </w:rPr>
        <w:t xml:space="preserve"> and for vendors that only take cards. No splitting a purchase to stay under a threshold. Receipts are uploaded within </w:t>
      </w:r>
      <w:r>
        <w:rPr>
          <w:b w:val="0"/>
          <w:i w:val="0"/>
          <w:color w:val="4F46E5"/>
          <w:sz w:val="17"/>
          <w:highlight w:val="yellow"/>
        </w:rPr>
        <w:t>[5]</w:t>
      </w:r>
      <w:r>
        <w:rPr>
          <w:b w:val="0"/>
          <w:i w:val="0"/>
          <w:sz w:val="17"/>
        </w:rPr>
        <w:t xml:space="preserve"> days.</w:t>
      </w:r>
    </w:p>
    <w:p>
      <w:pPr>
        <w:pStyle w:val="Heading3"/>
      </w:pPr>
      <w:r>
        <w:t>9. Delegation and absence</w:t>
      </w:r>
    </w:p>
    <w:p>
      <w:pPr>
        <w:spacing w:after="20"/>
      </w:pPr>
      <w:r>
        <w:rPr>
          <w:b w:val="0"/>
          <w:i w:val="0"/>
          <w:sz w:val="17"/>
        </w:rPr>
        <w:t xml:space="preserve">Every approver names a backup in </w:t>
      </w:r>
      <w:r>
        <w:rPr>
          <w:b w:val="0"/>
          <w:i w:val="0"/>
          <w:color w:val="4F46E5"/>
          <w:sz w:val="17"/>
          <w:highlight w:val="yellow"/>
        </w:rPr>
        <w:t>[system / approval matrix]</w:t>
      </w:r>
      <w:r>
        <w:rPr>
          <w:b w:val="0"/>
          <w:i w:val="0"/>
          <w:sz w:val="17"/>
        </w:rPr>
        <w:t xml:space="preserve">. While covering, a backup can approve up to </w:t>
      </w:r>
      <w:r>
        <w:rPr>
          <w:b w:val="0"/>
          <w:i w:val="0"/>
          <w:color w:val="4F46E5"/>
          <w:sz w:val="17"/>
          <w:highlight w:val="yellow"/>
        </w:rPr>
        <w:t>[$ amount]</w:t>
      </w:r>
      <w:r>
        <w:rPr>
          <w:b w:val="0"/>
          <w:i w:val="0"/>
          <w:sz w:val="17"/>
        </w:rPr>
        <w:t xml:space="preserve">; above that, the approval goes up one tier. Approvals waiting more than </w:t>
      </w:r>
      <w:r>
        <w:rPr>
          <w:b w:val="0"/>
          <w:i w:val="0"/>
          <w:color w:val="4F46E5"/>
          <w:sz w:val="17"/>
          <w:highlight w:val="yellow"/>
        </w:rPr>
        <w:t>[24]</w:t>
      </w:r>
      <w:r>
        <w:rPr>
          <w:b w:val="0"/>
          <w:i w:val="0"/>
          <w:sz w:val="17"/>
        </w:rPr>
        <w:t xml:space="preserve"> business hours escalate to </w:t>
      </w:r>
      <w:r>
        <w:rPr>
          <w:b w:val="0"/>
          <w:i w:val="0"/>
          <w:color w:val="4F46E5"/>
          <w:sz w:val="17"/>
          <w:highlight w:val="yellow"/>
        </w:rPr>
        <w:t>[Role]</w:t>
      </w:r>
      <w:r>
        <w:rPr>
          <w:b w:val="0"/>
          <w:i w:val="0"/>
          <w:sz w:val="17"/>
        </w:rPr>
        <w:t>.</w:t>
      </w:r>
    </w:p>
    <w:p>
      <w:pPr>
        <w:pStyle w:val="Heading3"/>
      </w:pPr>
      <w:r>
        <w:t>10. Conflicts of interest and gifts</w:t>
      </w:r>
    </w:p>
    <w:p>
      <w:pPr>
        <w:spacing w:after="20"/>
      </w:pPr>
      <w:r>
        <w:rPr>
          <w:b w:val="0"/>
          <w:i w:val="0"/>
          <w:sz w:val="17"/>
        </w:rPr>
        <w:t xml:space="preserve">Disclose any personal or family interest in a vendor to </w:t>
      </w:r>
      <w:r>
        <w:rPr>
          <w:b w:val="0"/>
          <w:i w:val="0"/>
          <w:color w:val="4F46E5"/>
          <w:sz w:val="17"/>
          <w:highlight w:val="yellow"/>
        </w:rPr>
        <w:t>[Role]</w:t>
      </w:r>
      <w:r>
        <w:rPr>
          <w:b w:val="0"/>
          <w:i w:val="0"/>
          <w:sz w:val="17"/>
        </w:rPr>
        <w:t xml:space="preserve"> before taking part in the purchase. Gifts from vendors above </w:t>
      </w:r>
      <w:r>
        <w:rPr>
          <w:b w:val="0"/>
          <w:i w:val="0"/>
          <w:color w:val="4F46E5"/>
          <w:sz w:val="17"/>
          <w:highlight w:val="yellow"/>
        </w:rPr>
        <w:t>[$75]</w:t>
      </w:r>
      <w:r>
        <w:rPr>
          <w:b w:val="0"/>
          <w:i w:val="0"/>
          <w:sz w:val="17"/>
        </w:rPr>
        <w:t xml:space="preserve"> per year are declined or reported.</w:t>
      </w:r>
    </w:p>
    <w:p>
      <w:pPr>
        <w:pStyle w:val="Heading3"/>
      </w:pPr>
      <w:r>
        <w:t>11. Vendor bank-detail changes</w:t>
      </w:r>
    </w:p>
    <w:p>
      <w:pPr>
        <w:spacing w:after="20"/>
      </w:pPr>
      <w:r>
        <w:rPr>
          <w:b w:val="0"/>
          <w:i w:val="0"/>
          <w:sz w:val="17"/>
        </w:rPr>
        <w:t xml:space="preserve">Changes to a vendor's bank details are confirmed by phone using a number already on file (not one from the request email), and approved by </w:t>
      </w:r>
      <w:r>
        <w:rPr>
          <w:b w:val="0"/>
          <w:i w:val="0"/>
          <w:color w:val="4F46E5"/>
          <w:sz w:val="17"/>
          <w:highlight w:val="yellow"/>
        </w:rPr>
        <w:t>[Role]</w:t>
      </w:r>
      <w:r>
        <w:rPr>
          <w:b w:val="0"/>
          <w:i w:val="0"/>
          <w:sz w:val="17"/>
        </w:rPr>
        <w:t xml:space="preserve"> before the next payment.</w:t>
      </w:r>
    </w:p>
    <w:p>
      <w:pPr>
        <w:pStyle w:val="Heading3"/>
      </w:pPr>
      <w:r>
        <w:t>12. Exceptions</w:t>
      </w:r>
    </w:p>
    <w:p>
      <w:pPr>
        <w:spacing w:after="20"/>
      </w:pPr>
      <w:r>
        <w:rPr>
          <w:b w:val="0"/>
          <w:i w:val="0"/>
          <w:sz w:val="17"/>
        </w:rPr>
        <w:t xml:space="preserve">Emergencies affecting safety or operations may be bought without prior approval. Raise the PO within </w:t>
      </w:r>
      <w:r>
        <w:rPr>
          <w:b w:val="0"/>
          <w:i w:val="0"/>
          <w:color w:val="4F46E5"/>
          <w:sz w:val="17"/>
          <w:highlight w:val="yellow"/>
        </w:rPr>
        <w:t>[1]</w:t>
      </w:r>
      <w:r>
        <w:rPr>
          <w:b w:val="0"/>
          <w:i w:val="0"/>
          <w:sz w:val="17"/>
        </w:rPr>
        <w:t xml:space="preserve"> business day with the reason. Exceptions are reviewed monthly by </w:t>
      </w:r>
      <w:r>
        <w:rPr>
          <w:b w:val="0"/>
          <w:i w:val="0"/>
          <w:color w:val="4F46E5"/>
          <w:sz w:val="17"/>
          <w:highlight w:val="yellow"/>
        </w:rPr>
        <w:t>[Role]</w:t>
      </w:r>
      <w:r>
        <w:rPr>
          <w:b w:val="0"/>
          <w:i w:val="0"/>
          <w:sz w:val="17"/>
        </w:rPr>
        <w:t>.</w:t>
      </w:r>
    </w:p>
    <w:p>
      <w:r>
        <w:rPr>
          <w:b w:val="0"/>
          <w:i w:val="0"/>
          <w:sz w:val="18"/>
        </w:rPr>
        <w:t xml:space="preserve">Approved by: </w:t>
      </w:r>
      <w:r>
        <w:rPr>
          <w:b w:val="0"/>
          <w:i w:val="0"/>
          <w:color w:val="4F46E5"/>
          <w:sz w:val="18"/>
          <w:highlight w:val="yellow"/>
        </w:rPr>
        <w:t>[Name, title]</w:t>
      </w:r>
      <w:r>
        <w:rPr>
          <w:b w:val="0"/>
          <w:i w:val="0"/>
          <w:sz w:val="18"/>
        </w:rPr>
        <w:t xml:space="preserve">   Signature: ______________________   Date: </w:t>
      </w:r>
      <w:r>
        <w:rPr>
          <w:b w:val="0"/>
          <w:i w:val="0"/>
          <w:color w:val="4F46E5"/>
          <w:sz w:val="18"/>
          <w:highlight w:val="yellow"/>
        </w:rPr>
        <w:t>[Date]</w:t>
      </w:r>
    </w:p>
    <w:p>
      <w:r>
        <w:br w:type="page"/>
      </w:r>
    </w:p>
    <w:p>
      <w:r>
        <w:rPr>
          <w:b w:val="0"/>
          <w:i/>
          <w:color w:val="6B7280"/>
          <w:sz w:val="17"/>
        </w:rPr>
        <w:t xml:space="preserve">Using this template: replace every highlighted </w:t>
      </w:r>
      <w:r>
        <w:rPr>
          <w:b w:val="0"/>
          <w:i/>
          <w:color w:val="4F46E5"/>
          <w:sz w:val="17"/>
          <w:highlight w:val="yellow"/>
        </w:rPr>
        <w:t>[field]</w:t>
      </w:r>
      <w:r>
        <w:rPr>
          <w:b w:val="0"/>
          <w:i/>
          <w:color w:val="6B7280"/>
          <w:sz w:val="17"/>
        </w:rPr>
        <w:t>. Written for companies with 20–200 employees. Delete this page before publishing.</w:t>
      </w:r>
    </w:p>
    <w:p>
      <w:r>
        <w:rPr>
          <w:b w:val="0"/>
          <w:i/>
          <w:color w:val="6B7280"/>
          <w:sz w:val="17"/>
        </w:rPr>
        <w:t>Grant-funded organizations: federal awards have their own procurement standards (2 CFR 200.317–200.327). Check the current text and your award terms with your auditor or counsel. This template is not legal advice.</w:t>
      </w:r>
    </w:p>
    <w:p>
      <w:pPr>
        <w:pStyle w:val="Heading2"/>
      </w:pPr>
      <w:r>
        <w:t>Rolling it out (keep or delete this page)</w:t>
      </w:r>
    </w:p>
    <w:p>
      <w:pPr>
        <w:pStyle w:val="ListBullet"/>
        <w:spacing w:after="40"/>
      </w:pPr>
      <w:r>
        <w:rPr>
          <w:b w:val="0"/>
          <w:i w:val="0"/>
        </w:rPr>
        <w:t>Make it effective on the first business day of a quarter (for example, the start of Q1), so new spend starts under the new rules and nobody has to switch mid-month.</w:t>
      </w:r>
    </w:p>
    <w:p>
      <w:pPr>
        <w:pStyle w:val="ListBullet"/>
        <w:spacing w:after="40"/>
      </w:pPr>
      <w:r>
        <w:rPr>
          <w:b w:val="0"/>
          <w:i w:val="0"/>
        </w:rPr>
        <w:t xml:space="preserve">Send the policy with a 3-line summary: ask first, PO over </w:t>
      </w:r>
      <w:r>
        <w:rPr>
          <w:b w:val="0"/>
          <w:i w:val="0"/>
          <w:color w:val="4F46E5"/>
          <w:highlight w:val="yellow"/>
        </w:rPr>
        <w:t>[$500]</w:t>
      </w:r>
      <w:r>
        <w:rPr>
          <w:b w:val="0"/>
          <w:i w:val="0"/>
        </w:rPr>
        <w:t>, we pay on match.</w:t>
      </w:r>
    </w:p>
    <w:p>
      <w:pPr>
        <w:pStyle w:val="ListBullet"/>
        <w:spacing w:after="40"/>
      </w:pPr>
      <w:r>
        <w:rPr>
          <w:b w:val="0"/>
          <w:i w:val="0"/>
        </w:rPr>
        <w:t>Pin the threshold table where people buy (shared drive, intranet, Slack channel).</w:t>
      </w:r>
    </w:p>
    <w:p>
      <w:pPr>
        <w:pStyle w:val="ListBullet"/>
        <w:spacing w:after="40"/>
      </w:pPr>
      <w:r>
        <w:rPr>
          <w:b w:val="0"/>
          <w:i w:val="0"/>
        </w:rPr>
        <w:t xml:space="preserve">Run it for </w:t>
      </w:r>
      <w:r>
        <w:rPr>
          <w:b w:val="0"/>
          <w:i w:val="0"/>
          <w:color w:val="4F46E5"/>
          <w:highlight w:val="yellow"/>
        </w:rPr>
        <w:t>[30]</w:t>
      </w:r>
      <w:r>
        <w:rPr>
          <w:b w:val="0"/>
          <w:i w:val="0"/>
        </w:rPr>
        <w:t xml:space="preserve"> days, then review exceptions. If a rule is broken every week, the rule is wrong or the process is too slow.</w:t>
      </w:r>
    </w:p>
    <w:p>
      <w:pPr>
        <w:pStyle w:val="ListBullet"/>
        <w:spacing w:after="40"/>
      </w:pPr>
      <w:r>
        <w:rPr>
          <w:b w:val="0"/>
          <w:i w:val="0"/>
        </w:rPr>
        <w:t>Test: can a new hire answer 'who approves a $3,000 purchase?' in under 10 seconds?</w:t>
      </w:r>
    </w:p>
    <w:tbl>
      <w:tblPr>
        <w:tblW w:type="auto" w:w="0"/>
        <w:tblLook w:firstColumn="1" w:firstRow="1" w:lastColumn="0" w:lastRow="0" w:noHBand="0" w:noVBand="1" w:val="04A0"/>
      </w:tblPr>
      <w:tblGrid>
        <w:gridCol w:w="10512"/>
      </w:tblGrid>
      <w:tr>
        <w:tc>
          <w:tcPr>
            <w:tcW w:type="dxa" w:w="10512"/>
            <w:shd w:val="clear" w:color="auto" w:fill="4F46E5"/>
          </w:tcPr>
          <w:p>
            <w:r>
              <w:rPr>
                <w:b/>
                <w:color w:val="FFFFFF"/>
                <w:sz w:val="26"/>
              </w:rPr>
              <w:t>Stop doing this by hand</w:t>
            </w:r>
          </w:p>
          <w:p>
            <w:r>
              <w:rPr>
                <w:b w:val="0"/>
                <w:i w:val="0"/>
                <w:color w:val="FFFFFF"/>
                <w:sz w:val="19"/>
              </w:rPr>
              <w:t>A policy on paper depends on people remembering it. In Foxpedite, the policy becomes the way purchases actually happen.</w:t>
            </w:r>
          </w:p>
          <w:p>
            <w:pPr>
              <w:spacing w:after="20"/>
            </w:pPr>
            <w:r>
              <w:rPr>
                <w:b w:val="0"/>
                <w:i w:val="0"/>
                <w:color w:val="FFFFFF"/>
                <w:sz w:val="19"/>
              </w:rPr>
              <w:t>•  Your thresholds become routing rules in a visual workflow builder: by amount, department and category, with escalation and delegation.</w:t>
            </w:r>
          </w:p>
          <w:p>
            <w:pPr>
              <w:spacing w:after="20"/>
            </w:pPr>
            <w:r>
              <w:rPr>
                <w:b w:val="0"/>
                <w:i w:val="0"/>
                <w:color w:val="FFFFFF"/>
                <w:sz w:val="19"/>
              </w:rPr>
              <w:t>•  Draft-Stage Budget Lock: the moment someone drafts a purchase, Foxpedite reserves it against the budget. Overspend shows at the request, not at month-end.</w:t>
            </w:r>
          </w:p>
          <w:p>
            <w:pPr>
              <w:spacing w:after="20"/>
            </w:pPr>
            <w:r>
              <w:rPr>
                <w:b w:val="0"/>
                <w:i w:val="0"/>
                <w:color w:val="FFFFFF"/>
                <w:sz w:val="19"/>
              </w:rPr>
              <w:t>•  Approve from the email; invoices pay only when PO + receipt + invoice match; synced to QuickBooks Online.</w:t>
            </w:r>
          </w:p>
          <w:p>
            <w:r>
              <w:rPr>
                <w:b/>
                <w:color w:val="FFFFFF"/>
                <w:sz w:val="18"/>
              </w:rPr>
              <w:t xml:space="preserve">Try it free for 14 days (all Advanced features, no card): </w:t>
            </w:r>
            <w:hyperlink r:id="rId11">
              <w:r>
                <w:rPr>
                  <w:color w:val="FFFFFF"/>
                  <w:u w:val="single"/>
                  <w:b/>
                  <w:sz w:val="18"/>
                </w:rPr>
                <w:t>foxpedite.com/register</w:t>
              </w:r>
            </w:hyperlink>
          </w:p>
          <w:p>
            <w:r>
              <w:rPr>
                <w:color w:val="FFFFFF"/>
                <w:sz w:val="16"/>
              </w:rPr>
              <w:t>Trial includes every Advanced feature. Approval workflows, approve-from-email, QuickBooks Online sync and AI document scanning are on Advanced ($740/mo, 20 users incl.); Regular ($390/mo, 10 users) covers POs, budgets and 3-way match. +$39/extra user · prices as of Oct 2026</w:t>
            </w:r>
          </w:p>
        </w:tc>
      </w:tr>
    </w:tbl>
    <w:sectPr w:rsidR="00FC693F" w:rsidRPr="0006063C" w:rsidSect="00034616">
      <w:headerReference w:type="default" r:id="rId9"/>
      <w:footerReference w:type="default" r:id="rId10"/>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5"/>
      </w:rPr>
      <w:t>foxpedite.com - Free template. Example data is illustrative.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92608" cy="292608"/>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92608" cy="292608"/>
                  </a:xfrm>
                  <a:prstGeom prst="rect"/>
                </pic:spPr>
              </pic:pic>
            </a:graphicData>
          </a:graphic>
        </wp:inline>
      </w:drawing>
    </w:r>
    <w:r>
      <w:rPr>
        <w:b/>
        <w:color w:val="4F46E5"/>
        <w:sz w:val="28"/>
      </w:rPr>
      <w:t xml:space="preserve">  Foxpedite</w:t>
    </w:r>
    <w:r>
      <w:rPr>
        <w:b/>
        <w:color w:val="6B7280"/>
        <w:sz w:val="15"/>
      </w:rPr>
      <w:tab/>
      <w:tab/>
      <w:t>PURCHASING POLICY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pPr>
    <w:rPr>
      <w:rFonts w:ascii="Inter" w:hAnsi="Inter" w:eastAsia="Inter"/>
      <w:color w:val="11182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80"/>
      <w:outlineLvl w:val="0"/>
    </w:pPr>
    <w:rPr>
      <w:rFonts w:asciiTheme="majorHAnsi" w:eastAsiaTheme="majorEastAsia" w:hAnsiTheme="majorHAnsi" w:cstheme="majorBidi" w:ascii="Inter" w:hAnsi="Inter" w:eastAsia="Inter"/>
      <w:b/>
      <w:bCs/>
      <w:color w:val="111827"/>
      <w:sz w:val="4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Inter" w:hAnsi="Inter" w:eastAsia="Inter"/>
      <w:b/>
      <w:bCs/>
      <w:color w:val="4F46E5"/>
      <w:sz w:val="25"/>
      <w:szCs w:val="26"/>
    </w:rPr>
  </w:style>
  <w:style w:type="paragraph" w:styleId="Heading3">
    <w:name w:val="heading 3"/>
    <w:basedOn w:val="Normal"/>
    <w:next w:val="Normal"/>
    <w:link w:val="Heading3Char"/>
    <w:uiPriority w:val="9"/>
    <w:unhideWhenUsed/>
    <w:qFormat/>
    <w:rsid w:val="00FC693F"/>
    <w:pPr>
      <w:keepNext/>
      <w:keepLines/>
      <w:spacing w:before="80" w:after="0"/>
      <w:outlineLvl w:val="2"/>
    </w:pPr>
    <w:rPr>
      <w:rFonts w:asciiTheme="majorHAnsi" w:eastAsiaTheme="majorEastAsia" w:hAnsiTheme="majorHAnsi" w:cstheme="majorBidi" w:ascii="Inter" w:hAnsi="Inter" w:eastAsia="Inter"/>
      <w:b/>
      <w:bCs/>
      <w:color w:val="4F46E5"/>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oxpedite.com/register?utm_source=website&amp;utm_medium=organic&amp;utm_campaign=fx-202701-your-first-purchasing-po&amp;utm_content=foxpedite-com-templates-template-lead-magnet-w10-w10-l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Foxpedite</dc:creator>
  <cp:keywords/>
  <dc:description/>
  <cp:lastModifiedBy/>
  <cp:revision>1</cp:revision>
  <dcterms:created xsi:type="dcterms:W3CDTF">2013-12-23T23:15:00Z</dcterms:created>
  <dcterms:modified xsi:type="dcterms:W3CDTF">2013-12-23T23:15:00Z</dcterms:modified>
  <cp:category/>
</cp:coreProperties>
</file>